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E" w:rsidRPr="00031D4B" w:rsidRDefault="00B97B6E" w:rsidP="00B97B6E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23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2023/11/26</w:t>
      </w:r>
    </w:p>
    <w:p w:rsidR="00B97B6E" w:rsidRPr="00031D4B" w:rsidRDefault="00B97B6E" w:rsidP="00B97B6E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 xml:space="preserve">23. 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最大爭論》</w:t>
      </w:r>
    </w:p>
    <w:p w:rsidR="00B97B6E" w:rsidRPr="00031D4B" w:rsidRDefault="00B97B6E" w:rsidP="00B97B6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一．律法的爭論（徒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14:24~28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B97B6E" w:rsidRPr="00031D4B" w:rsidRDefault="00B97B6E" w:rsidP="00B97B6E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保羅結束在賽普勒斯與加拉太的第一次宣教旅程，返回安提阿述職途中，仍一路傳講神的道；包括小亞細亞南邊的彼西底、旁非利亞、別加、海口亞大利，然後搭船回安提阿。</w:t>
      </w:r>
    </w:p>
    <w:p w:rsidR="00B97B6E" w:rsidRPr="00031D4B" w:rsidRDefault="00B97B6E" w:rsidP="00B97B6E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從此，後代許多宣教士都訂下這個做法，在禾場數年之後會返國述職，英文稱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furlough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，意指從職責上暫時退下來，休假一段時間。而目的包括：休息、與支持他們的母會有連結與交通，但今天有些宣教士則用之來進修或是募款。</w:t>
      </w:r>
    </w:p>
    <w:p w:rsidR="00B97B6E" w:rsidRPr="00031D4B" w:rsidRDefault="00B97B6E" w:rsidP="00B97B6E">
      <w:pPr>
        <w:pStyle w:val="a3"/>
        <w:widowControl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15:1~5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。在猶大和耶路撒冷的猶太人，也有主張基督的救贖必須包括守律法、受割禮才能得救的。在猶太地傳這教訓比較不會遇見衝突，因為那裡的猶太人本就嚴守律法；但在外邦傳就不一樣了。基督的門徒將福音傳至普天下，但異端或錯謬的教訓一向也跟在後面，將他們的教訓傳到各地去；正如主曾論法利賽人說的話，參太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23:15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。</w:t>
      </w:r>
    </w:p>
    <w:p w:rsidR="00B97B6E" w:rsidRPr="00031D4B" w:rsidRDefault="00B97B6E" w:rsidP="00B97B6E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安提阿教會是因逼迫而分散的耶路撒冷門徒建立的，遇見這樣的爭議，很自然地想回母會，由母會的領袖來裁決。那時保羅還沒被公認為主要領袖，所以他也順從大家這麼做。</w:t>
      </w:r>
    </w:p>
    <w:p w:rsidR="00B97B6E" w:rsidRPr="00031D4B" w:rsidRDefault="00B97B6E" w:rsidP="00B97B6E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他們從安提阿前往耶路撒冷途中，遇見未信的人就傳福音，遇見神兒女就述說他們宣教的故事。他們沒有因遇見這些爭議，就將焦點放在其上，想的、說的都圍繞在這個話題上；而是繼續傳神的道。</w:t>
      </w:r>
    </w:p>
    <w:p w:rsidR="00B97B6E" w:rsidRPr="00031D4B" w:rsidRDefault="00B97B6E" w:rsidP="00B97B6E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葛理翰面對批判與攻擊時，多半對這些非難置之不理；他害怕若是回應這些攻擊，終究有損自己的事工。他表示：「再也沒有比讓我們停止事奉，開始回應批評，追蹤惡劣的謊言和惡意的傳聞，更讓撒但歡喜快樂的。」我年輕時被主教導過這個。</w:t>
      </w:r>
    </w:p>
    <w:p w:rsidR="00B97B6E" w:rsidRPr="00031D4B" w:rsidRDefault="00B97B6E" w:rsidP="00B97B6E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B97B6E" w:rsidRPr="00031D4B" w:rsidRDefault="00B97B6E" w:rsidP="00B97B6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二．耶路撒冷會議（徒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15:6~11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在開此會議之後不久，保羅就出發前往第二次宣教旅程，探望了加拉太教會，在巴爾幹半島北邊的馬其頓建立了教會，這些大概歷經數月時間，之後就下到南邊的亞該亞，在那裡待了一年半，建立了哥林多教會。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而就是在哥林多期間，羅馬哲學家、尼祿皇帝的家庭教師辛尼加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Seneca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的兄弟迦流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Gallio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，被委任為亞該亞方伯（省長）。在歷史記錄中，他任此職只有一兩年時間，約於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AD51~52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年左右。我們據以推斷，耶路撒冷會議大約開於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AD49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或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50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。這是使徒行傳的事件，惟一能比較精確地定出年代的依據。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我喜歡將耶城會議定在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AD50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，方便將主釘十字架、復活、升天、聖靈降臨、教會建立起來的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AD30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，到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AD70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耶城被毀的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40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年，劃分為兩半，也因此能定出保羅得救、三次宣教旅程等等事件的大略年代。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這不是耶路撒冷教會內部的同工會，而是在猶太與外邦服事，普世教會的領袖們一起開的會，後來被稱為「大公會議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Ecumenical Synods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」。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像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AD325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君士坦丁大帝為解決教會與亞流主義的爭議，召開了大公會議，結果產生了尼西亞信經。近代天主教還在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1961-1965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開過第二屆梵蒂岡大公會議，做了許多改革。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路加並未明說初代教會開會的形式、規矩、法則等等，他們好像只是自然地進行。我想這是聖靈的智慧，不說出細節，免得後代的教會以為那是標準模式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softHyphen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；而其實教會開會應該在不同時代、不同地區、不同成員、不同項目，會有不同的方式，讓聖靈自然地帶領吧。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彼得並未一起頭就講到他得著的啟示，以權威定奪這個議題，而是讓大家講。這是開會的秘訣之一，不要怕大家提出各種意見。而會議主席要留意協調，比方在意見對立的雙方，找出其共同點。</w:t>
      </w:r>
    </w:p>
    <w:p w:rsidR="00B97B6E" w:rsidRPr="00031D4B" w:rsidRDefault="00B97B6E" w:rsidP="00B97B6E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若已有議題，最好能在招聚大家開會前，就告知與會者要談什麼，好讓大家可以有預備。除了主席之外，不該以聖靈恩賜來做議決的權威（主昨天告訴我，這件事應該如何如何才對）；但主席可以按聖靈的帶領，安排大家投票，或是他自己做出裁決。這都是今天開會的法則。</w:t>
      </w:r>
    </w:p>
    <w:p w:rsidR="00B97B6E" w:rsidRDefault="00B97B6E" w:rsidP="00B97B6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B97B6E" w:rsidRPr="00031D4B" w:rsidRDefault="00B97B6E" w:rsidP="00B97B6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三．大衛的帳幕（徒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15:12~18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B97B6E" w:rsidRPr="00031D4B" w:rsidRDefault="00B97B6E" w:rsidP="00B97B6E">
      <w:pPr>
        <w:pStyle w:val="a3"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主的兄弟雅各引用摩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9:11~12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來作最後總結（但無法確認他是否會議主席，是否這時他已經成為耶路撒冷教會的「主任牧師」，而不是彼得。</w:t>
      </w:r>
    </w:p>
    <w:p w:rsidR="00B97B6E" w:rsidRPr="00031D4B" w:rsidRDefault="00B97B6E" w:rsidP="00B97B6E">
      <w:pPr>
        <w:pStyle w:val="a3"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雅各引用的話與阿摩司說的話有一點出入，可能雅各是自由地引用，加上一點自己的詮釋。但也有人認為它似乎更靠近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LXX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（七十士譯本，舊約聖經希臘文譯本）的經文。有些學者認為主耶穌與使徒手中都有這譯本。</w:t>
      </w:r>
    </w:p>
    <w:p w:rsidR="00B97B6E" w:rsidRPr="00031D4B" w:rsidRDefault="00B97B6E" w:rsidP="00B97B6E">
      <w:pPr>
        <w:pStyle w:val="a3"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這樣引用先知的話來支持傳福音給外邦人，出自以嚴守律法著稱的人，甚至被猶太社會譽為「公義的雅各」，是很好的，更有說服力；若是出於保羅或傾向接納外邦人者，可能會繼續引起爭論。</w:t>
      </w:r>
    </w:p>
    <w:p w:rsidR="00B97B6E" w:rsidRPr="00031D4B" w:rsidRDefault="00B97B6E" w:rsidP="00B97B6E">
      <w:pPr>
        <w:pStyle w:val="a3"/>
        <w:widowControl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關於大衛的帳幕，有些人（如賈德納牧師：《恩光》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93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期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1988/7-8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Graham Truscott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The Power of His Presence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神同在的能力》以琳出版）喜歡指向大衛為約櫃預備的帳幕（撒下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6:17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）；其實先知阿摩司的話，可能只是提到神要恢復大衛作王時期的富足、強盛、偉大。</w:t>
      </w:r>
    </w:p>
    <w:p w:rsidR="00B97B6E" w:rsidRPr="00031D4B" w:rsidRDefault="00B97B6E" w:rsidP="00B97B6E">
      <w:pPr>
        <w:pStyle w:val="a3"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但大衛王國的豐盛榮耀，與他如何信靠、順服、渴慕神大有關係，大衛對神的愛特別表現在立意為神建造居所的事上。而大衛因著認識神、尊崇神、親近神，成為活在舊約時代卻活出新約時代樣式的聖徒之一；他對待約櫃的態度，已經很接近使徒行傳所記，初代教會的樣式。</w:t>
      </w:r>
    </w:p>
    <w:p w:rsidR="00B97B6E" w:rsidRDefault="00B97B6E" w:rsidP="00B97B6E">
      <w:pPr>
        <w:widowControl/>
        <w:rPr>
          <w:rFonts w:ascii="Monotype Corsiva" w:eastAsia="新細明體" w:hAnsi="Monotype Corsiva"/>
          <w:b/>
          <w:bCs/>
          <w:color w:val="003300"/>
          <w:szCs w:val="24"/>
        </w:rPr>
      </w:pPr>
      <w:r>
        <w:rPr>
          <w:rFonts w:ascii="Monotype Corsiva" w:eastAsia="新細明體" w:hAnsi="Monotype Corsiva"/>
          <w:b/>
          <w:bCs/>
          <w:color w:val="003300"/>
          <w:szCs w:val="24"/>
        </w:rPr>
        <w:br w:type="page"/>
      </w:r>
    </w:p>
    <w:p w:rsidR="00B97B6E" w:rsidRPr="00031D4B" w:rsidRDefault="00B97B6E" w:rsidP="00B97B6E">
      <w:pPr>
        <w:pStyle w:val="a3"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我們將摩西的會幕與大衛的帳幕作點對比：</w:t>
      </w:r>
    </w:p>
    <w:p w:rsidR="00B97B6E" w:rsidRPr="00031D4B" w:rsidRDefault="00B97B6E" w:rsidP="00B97B6E">
      <w:pPr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摩西的會幕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大衛的帳幕</w:t>
      </w:r>
    </w:p>
    <w:p w:rsidR="00B97B6E" w:rsidRPr="00031D4B" w:rsidRDefault="00B97B6E" w:rsidP="00B97B6E">
      <w:pPr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核心是血與火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核心是歌頌讚美</w:t>
      </w:r>
    </w:p>
    <w:p w:rsidR="00B97B6E" w:rsidRPr="00031D4B" w:rsidRDefault="00B97B6E" w:rsidP="00B97B6E">
      <w:pPr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常是嚴肅戰兢的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常是敬畏卻歡樂的</w:t>
      </w:r>
    </w:p>
    <w:p w:rsidR="00B97B6E" w:rsidRPr="00031D4B" w:rsidRDefault="00B97B6E" w:rsidP="00B97B6E">
      <w:pPr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強調罪人與神的隔離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強調親近神</w:t>
      </w:r>
    </w:p>
    <w:p w:rsidR="00B97B6E" w:rsidRPr="00031D4B" w:rsidRDefault="00B97B6E" w:rsidP="00B97B6E">
      <w:pPr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罪需要救贖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神同在的彰顯</w:t>
      </w:r>
    </w:p>
    <w:p w:rsidR="00B97B6E" w:rsidRPr="00031D4B" w:rsidRDefault="00B97B6E" w:rsidP="00B97B6E">
      <w:pPr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有幔子遮掩約櫃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沒有幔子遮掩</w:t>
      </w:r>
    </w:p>
    <w:p w:rsidR="00B97B6E" w:rsidRPr="00031D4B" w:rsidRDefault="00B97B6E" w:rsidP="00B97B6E">
      <w:pPr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律法刻在石版上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律法刻在大衛心版上</w:t>
      </w:r>
    </w:p>
    <w:p w:rsidR="00B97B6E" w:rsidRPr="00031D4B" w:rsidRDefault="00B97B6E" w:rsidP="00B97B6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律法的規範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ab/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基督裡的自由</w:t>
      </w:r>
    </w:p>
    <w:p w:rsidR="00B97B6E" w:rsidRPr="00031D4B" w:rsidRDefault="00B97B6E" w:rsidP="00B97B6E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B97B6E" w:rsidRPr="00031D4B" w:rsidRDefault="00B97B6E" w:rsidP="00B97B6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四．保護分堂、支持宣教（徒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15:19~29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B97B6E" w:rsidRPr="00031D4B" w:rsidRDefault="00B97B6E" w:rsidP="00B97B6E">
      <w:pPr>
        <w:pStyle w:val="a3"/>
        <w:numPr>
          <w:ilvl w:val="0"/>
          <w:numId w:val="2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雅各下了結論，同意外邦人亦可領受福音，且不用像猶太人一般受割禮、守律法的條規禮儀，但要求他們遵守幾項禁戒（徒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15:20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）：偶像的污穢（含吃祭偶像之物，參徒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15:29</w:t>
      </w: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）、姦淫（不知為何卻不提殺人與偷盜等）、勒死的牲畜（可能肉會含血）與血。不知為何雅各特別注意這幾項，可能這是他最不能接受的，或是十誡裡其他誡命是一般外邦人也都認為是錯的。</w:t>
      </w:r>
    </w:p>
    <w:p w:rsidR="00B97B6E" w:rsidRPr="00031D4B" w:rsidRDefault="00B97B6E" w:rsidP="00B97B6E">
      <w:pPr>
        <w:pStyle w:val="a3"/>
        <w:numPr>
          <w:ilvl w:val="0"/>
          <w:numId w:val="2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初代教會這麼做是好的，好使外邦的教會得著保護。耶路撒冷教會以母會身份，本身做好榜樣，行事端正，然後也留心保護那些拓展而建立的教會。</w:t>
      </w:r>
    </w:p>
    <w:p w:rsidR="00B97B6E" w:rsidRPr="00031D4B" w:rsidRDefault="00B97B6E" w:rsidP="00B97B6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31D4B">
        <w:rPr>
          <w:rFonts w:ascii="Monotype Corsiva" w:eastAsia="新細明體" w:hAnsi="Monotype Corsiva"/>
          <w:b/>
          <w:bCs/>
          <w:color w:val="003300"/>
          <w:szCs w:val="24"/>
        </w:rPr>
        <w:t>《安提阿元素》末章：每位宣教士背後都應該至少有九位支持者；教會支持的高峰常發生在差派時與返國時；但宣教期間的支持應該包括：心靈支持（禱告）、後勤支持（處理相關事務）、經濟支持、溝通支持、教導與諮商。</w:t>
      </w:r>
    </w:p>
    <w:p w:rsidR="00623B86" w:rsidRPr="00B97B6E" w:rsidRDefault="00623B86" w:rsidP="00B97B6E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sectPr w:rsidR="00623B86" w:rsidRPr="00B97B6E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A6" w:rsidRDefault="00A630A6" w:rsidP="00D40568">
      <w:r>
        <w:separator/>
      </w:r>
    </w:p>
  </w:endnote>
  <w:endnote w:type="continuationSeparator" w:id="1">
    <w:p w:rsidR="00A630A6" w:rsidRDefault="00A630A6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AE5D69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B97B6E" w:rsidRPr="00B97B6E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A630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A6" w:rsidRDefault="00A630A6" w:rsidP="00D40568">
      <w:r>
        <w:separator/>
      </w:r>
    </w:p>
  </w:footnote>
  <w:footnote w:type="continuationSeparator" w:id="1">
    <w:p w:rsidR="00A630A6" w:rsidRDefault="00A630A6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E7336"/>
    <w:multiLevelType w:val="hybridMultilevel"/>
    <w:tmpl w:val="6FA4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9A2D76"/>
    <w:multiLevelType w:val="hybridMultilevel"/>
    <w:tmpl w:val="72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6006ED"/>
    <w:multiLevelType w:val="hybridMultilevel"/>
    <w:tmpl w:val="D15C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472B0B"/>
    <w:multiLevelType w:val="hybridMultilevel"/>
    <w:tmpl w:val="1B6E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8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20"/>
  </w:num>
  <w:num w:numId="16">
    <w:abstractNumId w:val="4"/>
  </w:num>
  <w:num w:numId="17">
    <w:abstractNumId w:val="16"/>
  </w:num>
  <w:num w:numId="18">
    <w:abstractNumId w:val="2"/>
  </w:num>
  <w:num w:numId="19">
    <w:abstractNumId w:val="19"/>
  </w:num>
  <w:num w:numId="20">
    <w:abstractNumId w:val="21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C29A6"/>
    <w:rsid w:val="001365B5"/>
    <w:rsid w:val="001843FC"/>
    <w:rsid w:val="004A351B"/>
    <w:rsid w:val="004E44DE"/>
    <w:rsid w:val="00623B86"/>
    <w:rsid w:val="00651F7F"/>
    <w:rsid w:val="007064D7"/>
    <w:rsid w:val="00855722"/>
    <w:rsid w:val="008C1619"/>
    <w:rsid w:val="009645A3"/>
    <w:rsid w:val="00A133CB"/>
    <w:rsid w:val="00A630A6"/>
    <w:rsid w:val="00AE5D69"/>
    <w:rsid w:val="00B97B6E"/>
    <w:rsid w:val="00C168DD"/>
    <w:rsid w:val="00D40568"/>
    <w:rsid w:val="00E13C22"/>
    <w:rsid w:val="00E37C20"/>
    <w:rsid w:val="00EF466D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2183</Characters>
  <Application>Microsoft Office Word</Application>
  <DocSecurity>0</DocSecurity>
  <Lines>18</Lines>
  <Paragraphs>5</Paragraphs>
  <ScaleCrop>false</ScaleCrop>
  <Company>HP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6</cp:revision>
  <dcterms:created xsi:type="dcterms:W3CDTF">2023-09-29T03:59:00Z</dcterms:created>
  <dcterms:modified xsi:type="dcterms:W3CDTF">2023-11-26T00:13:00Z</dcterms:modified>
</cp:coreProperties>
</file>